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1C443B" w:rsidR="000064F4" w:rsidP="000064F4" w:rsidRDefault="00722A5F" w14:paraId="50879738" w14:textId="267532A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722A5F">
        <w:rPr>
          <w:rFonts w:ascii="Arial" w:hAnsi="Arial" w:cs="Arial"/>
          <w:color w:val="000000" w:themeColor="text1"/>
          <w:sz w:val="22"/>
          <w:szCs w:val="22"/>
        </w:rPr>
        <w:t>TOOL 19 – HOW TO ORGANIZE A NEIGHBOURHOOD PLANNING COMMITTEE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>?</w:t>
      </w:r>
      <w:r w:rsidRPr="001C443B" w:rsidR="0014549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:rsidRPr="00D86D8C" w:rsidR="0008345F" w:rsidP="005B7F64" w:rsidRDefault="0008345F" w14:paraId="7CC1144F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5B7F64" w:rsidR="005B7F64" w:rsidP="2A124DB2" w:rsidRDefault="00E54FEE" w14:paraId="7A5BFF38" w14:textId="5525E41B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2A124DB2" w:rsidR="00E54FEE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What Is </w:t>
      </w:r>
      <w:r w:rsidRPr="2A124DB2" w:rsidR="00E54FEE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Neighbourhood</w:t>
      </w:r>
      <w:r w:rsidRPr="2A124DB2" w:rsidR="00E54FEE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 or Settlement Planning</w:t>
      </w:r>
      <w:r w:rsidRPr="2A124DB2" w:rsidR="005B7F64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?</w:t>
      </w:r>
    </w:p>
    <w:p w:rsidR="005B7F64" w:rsidP="00C727D9" w:rsidRDefault="00D56E61" w14:paraId="5E23570C" w14:textId="00549007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56E61">
        <w:rPr>
          <w:rFonts w:ascii="Arial" w:hAnsi="Arial" w:cs="Arial"/>
          <w:color w:val="000000" w:themeColor="text1"/>
          <w:sz w:val="18"/>
          <w:szCs w:val="18"/>
        </w:rPr>
        <w:t>Settlement planning is a process that enables local communities to guide the development of their areas. It was first introduced in the United Kingdom through the Localism Act of 2011.</w:t>
      </w:r>
      <w:r w:rsidRPr="00D56E61">
        <w:t xml:space="preserve"> </w:t>
      </w:r>
      <w:r w:rsidRPr="00D56E61">
        <w:rPr>
          <w:rFonts w:ascii="Arial" w:hAnsi="Arial" w:cs="Arial"/>
          <w:color w:val="000000" w:themeColor="text1"/>
          <w:sz w:val="18"/>
          <w:szCs w:val="18"/>
        </w:rPr>
        <w:t>According to this Act, communities can create so-called neighbourhood plans that serve as guidelines for further planning.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56E61">
        <w:rPr>
          <w:rFonts w:ascii="Arial" w:hAnsi="Arial" w:cs="Arial"/>
          <w:color w:val="000000" w:themeColor="text1"/>
          <w:sz w:val="18"/>
          <w:szCs w:val="18"/>
        </w:rPr>
        <w:t>Neighbourhood plans become an integral part of higher-level plans, and the policies they contain are used to develop the concept for urban planning.</w:t>
      </w:r>
      <w:r w:rsidR="00833466"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833466" w:rsidR="00833466">
        <w:rPr>
          <w:rFonts w:ascii="Arial" w:hAnsi="Arial" w:cs="Arial"/>
          <w:color w:val="000000" w:themeColor="text1"/>
          <w:sz w:val="18"/>
          <w:szCs w:val="18"/>
        </w:rPr>
        <w:t>These plans allow communities to approve or steer planning according to their needs and priorities, but they cannot block the development directions set by higher-level plans</w:t>
      </w:r>
      <w:r w:rsidRPr="00C727D9" w:rsidR="00C727D9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D86D8C" w:rsidR="00C727D9" w:rsidP="00C727D9" w:rsidRDefault="00C727D9" w14:paraId="10760862" w14:textId="77777777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C727D9" w:rsidR="00C727D9" w:rsidP="2A124DB2" w:rsidRDefault="00833466" w14:paraId="11685D78" w14:textId="76300FED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2A124DB2" w:rsidR="00833466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What Are the Benefits for the Community of Developing a </w:t>
      </w:r>
      <w:r w:rsidRPr="2A124DB2" w:rsidR="00833466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Neighbourhood</w:t>
      </w:r>
      <w:r w:rsidRPr="2A124DB2" w:rsidR="00833466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 Plan</w:t>
      </w:r>
      <w:r w:rsidRPr="2A124DB2" w:rsidR="00C727D9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?</w:t>
      </w:r>
    </w:p>
    <w:p w:rsidRPr="00B36C01" w:rsidR="00C727D9" w:rsidP="00B36C01" w:rsidRDefault="00833466" w14:paraId="26A0BA47" w14:textId="2BCF1116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833466">
        <w:rPr>
          <w:rFonts w:ascii="Arial" w:hAnsi="Arial" w:cs="Arial"/>
          <w:color w:val="000000" w:themeColor="text1"/>
          <w:sz w:val="18"/>
          <w:szCs w:val="18"/>
        </w:rPr>
        <w:t>Neighbourhood planning allows the local community to play a more significant role in shaping the area where they live and work, especially during the preparatory phase.</w:t>
      </w:r>
      <w:r w:rsidR="00FA14CF"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FA14CF" w:rsidR="00FA14CF">
        <w:rPr>
          <w:rFonts w:ascii="Arial" w:hAnsi="Arial" w:cs="Arial"/>
          <w:color w:val="000000" w:themeColor="text1"/>
          <w:sz w:val="18"/>
          <w:szCs w:val="18"/>
        </w:rPr>
        <w:t>It provides communities with an opportunity to define a clear and positive vision for the development of their area over the coming decades (10, 15, or 20 years).</w:t>
      </w:r>
      <w:r w:rsidR="00FA14CF"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FA14CF" w:rsidR="00FA14CF">
        <w:rPr>
          <w:rFonts w:ascii="Arial" w:hAnsi="Arial" w:cs="Arial"/>
          <w:color w:val="000000" w:themeColor="text1"/>
          <w:sz w:val="18"/>
          <w:szCs w:val="18"/>
        </w:rPr>
        <w:t>This vision can focus on meeting specific local needs and interests of residents</w:t>
      </w:r>
      <w:r w:rsidR="0046777B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5B7F64" w:rsidR="00155A82" w:rsidP="00155A82" w:rsidRDefault="00155A82" w14:paraId="32D12326" w14:textId="77777777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155A82" w:rsidR="0057275F" w:rsidP="2A124DB2" w:rsidRDefault="00FA14CF" w14:paraId="4BB11010" w14:textId="62D7F013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2A124DB2" w:rsidR="00FA14CF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How to Organize a </w:t>
      </w:r>
      <w:r w:rsidRPr="2A124DB2" w:rsidR="00FA14CF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Neighbourhood</w:t>
      </w:r>
      <w:r w:rsidRPr="2A124DB2" w:rsidR="00FA14CF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 Planning Committee</w:t>
      </w:r>
      <w:r w:rsidRPr="2A124DB2" w:rsidR="00155A82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?</w:t>
      </w:r>
    </w:p>
    <w:p w:rsidR="006A58B5" w:rsidP="00B36C01" w:rsidRDefault="006A58B5" w14:paraId="31CA0B6B" w14:textId="77777777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6A58B5">
        <w:rPr>
          <w:rFonts w:ascii="Arial" w:hAnsi="Arial" w:cs="Arial"/>
          <w:color w:val="000000" w:themeColor="text1"/>
          <w:sz w:val="18"/>
          <w:szCs w:val="18"/>
        </w:rPr>
        <w:t>This tool brings people together into formal but temporary groups to address complex and challenging public-interest issues.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6A58B5">
        <w:rPr>
          <w:rFonts w:ascii="Arial" w:hAnsi="Arial" w:cs="Arial"/>
          <w:color w:val="000000" w:themeColor="text1"/>
          <w:sz w:val="18"/>
          <w:szCs w:val="18"/>
        </w:rPr>
        <w:t>Participants explore the problem, discuss different perspectives, and make joint decisions</w:t>
      </w:r>
      <w:r w:rsidRPr="00B36C01" w:rsid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. </w:t>
      </w:r>
    </w:p>
    <w:p w:rsidR="00430F78" w:rsidP="00B36C01" w:rsidRDefault="006B0561" w14:paraId="099F63A0" w14:textId="41DC17CC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6B0561">
        <w:rPr>
          <w:rFonts w:ascii="Arial" w:hAnsi="Arial" w:cs="Arial"/>
          <w:color w:val="000000" w:themeColor="text1"/>
          <w:sz w:val="18"/>
          <w:szCs w:val="18"/>
        </w:rPr>
        <w:t>Participants often face a high degree of uncertainty regarding possible solutions, and opinions may become polarized (for example, on topics such as population growth, development impact, or sustainability).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6B0561">
        <w:rPr>
          <w:rFonts w:ascii="Arial" w:hAnsi="Arial" w:cs="Arial"/>
          <w:color w:val="000000" w:themeColor="text1"/>
          <w:sz w:val="18"/>
          <w:szCs w:val="18"/>
        </w:rPr>
        <w:t>The goal of this method is to find common ground for action, especially in cases where a simple solution is not possible</w:t>
      </w:r>
      <w:r w:rsidRPr="00B36C01" w:rsid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. </w:t>
      </w:r>
      <w:r w:rsidRPr="001B4C57" w:rsidR="001B4C57">
        <w:rPr>
          <w:rFonts w:ascii="Arial" w:hAnsi="Arial" w:cs="Arial"/>
          <w:color w:val="000000" w:themeColor="text1"/>
          <w:sz w:val="18"/>
          <w:szCs w:val="18"/>
        </w:rPr>
        <w:t>This process involves the presence of a facilitator, usually a neutral person, who guides the discussion</w:t>
      </w:r>
      <w:r w:rsidRPr="00B36C01" w:rsid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. </w:t>
      </w:r>
      <w:r w:rsidRPr="001B4C57" w:rsidR="001B4C57">
        <w:rPr>
          <w:rFonts w:ascii="Arial" w:hAnsi="Arial" w:cs="Arial"/>
          <w:color w:val="000000" w:themeColor="text1"/>
          <w:sz w:val="18"/>
          <w:szCs w:val="18"/>
        </w:rPr>
        <w:t>The tool is often used to collect public opinions on specific topics, which are then presented to decision-makers through a report</w:t>
      </w:r>
      <w:r w:rsidRPr="00B36C01" w:rsidR="00B36C01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DC0269" w:rsidR="00DC0269" w:rsidP="2A124DB2" w:rsidRDefault="00262A06" w14:paraId="4DDFD3C2" w14:textId="2CB05F4C" w14:noSpellErr="1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A124DB2" w:rsidR="00262A06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Identify and gather participants who accurately reflect the local population</w:t>
      </w:r>
      <w:r w:rsidRPr="2A124DB2" w:rsidR="00DC026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.</w:t>
      </w:r>
    </w:p>
    <w:p w:rsidRPr="00DC0269" w:rsidR="00DC0269" w:rsidP="2A124DB2" w:rsidRDefault="00494939" w14:paraId="1ECBA35A" w14:textId="011CBAC5" w14:noSpellErr="1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A124DB2" w:rsidR="0049493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Organize </w:t>
      </w:r>
      <w:r w:rsidRPr="2A124DB2" w:rsidR="0049493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an initial</w:t>
      </w:r>
      <w:r w:rsidRPr="2A124DB2" w:rsidR="0049493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session that clearly defines the topic while building trust among participants and between participants and the facilitator</w:t>
      </w:r>
      <w:r w:rsidRPr="2A124DB2" w:rsidR="00DC026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.</w:t>
      </w:r>
    </w:p>
    <w:p w:rsidR="00373D01" w:rsidP="2A124DB2" w:rsidRDefault="00373D01" w14:paraId="49D935E0" w14:textId="77777777" w14:noSpellErr="1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A124DB2" w:rsidR="00373D0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Conduct </w:t>
      </w:r>
      <w:r w:rsidRPr="2A124DB2" w:rsidR="00373D0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facilitated</w:t>
      </w:r>
      <w:r w:rsidRPr="2A124DB2" w:rsidR="00373D0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discussions on the topic, asking participants concrete, pre-prepared questions</w:t>
      </w:r>
      <w:r w:rsidRPr="2A124DB2" w:rsidR="00DC026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. </w:t>
      </w:r>
    </w:p>
    <w:p w:rsidR="00373D01" w:rsidP="2A124DB2" w:rsidRDefault="00373D01" w14:paraId="0B8A0182" w14:textId="1B62D8C2" w14:noSpellErr="1">
      <w:pPr>
        <w:pStyle w:val="ListParagraph"/>
        <w:numPr>
          <w:ilvl w:val="1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A124DB2" w:rsidR="00373D0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a. For larger groups, divide participants into representative or intentionally homogeneous subgroups</w:t>
      </w:r>
      <w:r w:rsidRPr="2A124DB2" w:rsidR="00DC026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.</w:t>
      </w:r>
      <w:r w:rsidRPr="2A124DB2" w:rsidR="00DC0269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</w:t>
      </w:r>
    </w:p>
    <w:p w:rsidR="00373D01" w:rsidP="00373D01" w:rsidRDefault="00306699" w14:paraId="6DCCE9AC" w14:textId="644107BC">
      <w:pPr>
        <w:pStyle w:val="ListParagraph"/>
        <w:numPr>
          <w:ilvl w:val="1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06699">
        <w:rPr>
          <w:rFonts w:ascii="Arial" w:hAnsi="Arial" w:cs="Arial"/>
          <w:color w:val="000000" w:themeColor="text1"/>
          <w:sz w:val="18"/>
          <w:szCs w:val="18"/>
        </w:rPr>
        <w:t>b. Focus on decision-making and concrete conclusions</w:t>
      </w:r>
      <w:r w:rsidRPr="00DC0269" w:rsid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. </w:t>
      </w:r>
    </w:p>
    <w:p w:rsidRPr="00DC0269" w:rsidR="00DC0269" w:rsidP="00373D01" w:rsidRDefault="00306699" w14:paraId="0546806D" w14:textId="138EC2A6">
      <w:pPr>
        <w:pStyle w:val="ListParagraph"/>
        <w:numPr>
          <w:ilvl w:val="1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06699">
        <w:rPr>
          <w:rFonts w:ascii="Arial" w:hAnsi="Arial" w:cs="Arial"/>
          <w:color w:val="000000" w:themeColor="text1"/>
          <w:sz w:val="18"/>
          <w:szCs w:val="18"/>
        </w:rPr>
        <w:t>c. Record key observations and conclusions during the discussion</w:t>
      </w:r>
      <w:r w:rsidRPr="00DC0269" w:rsidR="00DC0269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DC0269" w:rsidR="00DC0269" w:rsidP="00DC0269" w:rsidRDefault="00735E87" w14:paraId="2BBE3899" w14:textId="65B7998B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735E87">
        <w:rPr>
          <w:rFonts w:ascii="Arial" w:hAnsi="Arial" w:cs="Arial"/>
          <w:color w:val="000000" w:themeColor="text1"/>
          <w:sz w:val="18"/>
          <w:szCs w:val="18"/>
        </w:rPr>
        <w:t>Synthesize the results and prepare a report with conclusions</w:t>
      </w:r>
      <w:r w:rsidR="00DC0269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="00B36C01" w:rsidP="00B36C01" w:rsidRDefault="00B36C01" w14:paraId="05CF70EE" w14:textId="77777777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="00155A82" w:rsidP="2A124DB2" w:rsidRDefault="00735E87" w14:paraId="77EFF834" w14:textId="7CB8FD67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2A124DB2" w:rsidR="00735E87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Why Use </w:t>
      </w:r>
      <w:r w:rsidRPr="2A124DB2" w:rsidR="00735E87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Neighbourhood</w:t>
      </w:r>
      <w:r w:rsidRPr="2A124DB2" w:rsidR="00735E87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 Planning Committees</w:t>
      </w:r>
      <w:r w:rsidRPr="2A124DB2" w:rsidR="00DC0269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?</w:t>
      </w:r>
    </w:p>
    <w:p w:rsidR="00C60382" w:rsidP="00DC0269" w:rsidRDefault="00735E87" w14:paraId="3F5AD045" w14:textId="33F14955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735E87">
        <w:rPr>
          <w:rFonts w:ascii="Arial" w:hAnsi="Arial" w:cs="Arial"/>
          <w:color w:val="000000" w:themeColor="text1"/>
          <w:sz w:val="18"/>
          <w:szCs w:val="18"/>
        </w:rPr>
        <w:t>Increases the legitimacy of decisions</w:t>
      </w:r>
      <w:r w:rsidR="00DC0269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="00DC0269" w:rsidP="00DC0269" w:rsidRDefault="00F9399F" w14:paraId="422D3518" w14:textId="4E52A05D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F9399F">
        <w:rPr>
          <w:rFonts w:ascii="Arial" w:hAnsi="Arial" w:cs="Arial"/>
          <w:color w:val="000000" w:themeColor="text1"/>
          <w:sz w:val="18"/>
          <w:szCs w:val="18"/>
        </w:rPr>
        <w:t>May lead to results that are more relevant to the local population</w:t>
      </w:r>
      <w:r w:rsidR="00DC0269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="00C60382" w:rsidP="00C60382" w:rsidRDefault="00DC0269" w14:paraId="72AC0133" w14:textId="29004F0F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72286" wp14:editId="49CFF518">
                <wp:simplePos x="0" y="0"/>
                <wp:positionH relativeFrom="column">
                  <wp:posOffset>3277870</wp:posOffset>
                </wp:positionH>
                <wp:positionV relativeFrom="paragraph">
                  <wp:posOffset>107950</wp:posOffset>
                </wp:positionV>
                <wp:extent cx="2618740" cy="1456690"/>
                <wp:effectExtent l="0" t="0" r="0" b="3810"/>
                <wp:wrapTight wrapText="bothSides">
                  <wp:wrapPolygon edited="0">
                    <wp:start x="0" y="0"/>
                    <wp:lineTo x="0" y="21468"/>
                    <wp:lineTo x="21474" y="21468"/>
                    <wp:lineTo x="21474" y="0"/>
                    <wp:lineTo x="0" y="0"/>
                  </wp:wrapPolygon>
                </wp:wrapTight>
                <wp:docPr id="4502605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8740" cy="14566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0382" w:rsidP="00C60382" w:rsidRDefault="00F9399F" w14:paraId="5F01D718" w14:textId="281C853E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F9399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Accessibility</w:t>
                            </w:r>
                            <w:r w:rsidRPr="00C60382" w:rsid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:rsidRPr="00C60382" w:rsidR="00C60382" w:rsidP="00F9399F" w:rsidRDefault="00F9399F" w14:paraId="63EEA3C6" w14:textId="16A8C61D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F9399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This activity is not suitable for online engagement as it relies on group discussion and requires the physical presence of participants</w:t>
                            </w:r>
                            <w:r w:rsid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.</w:t>
                            </w:r>
                          </w:p>
                          <w:p w:rsidR="00C60382" w:rsidP="00C60382" w:rsidRDefault="00C60382" w14:paraId="5B85825D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7272286">
                <v:stroke joinstyle="miter"/>
                <v:path gradientshapeok="t" o:connecttype="rect"/>
              </v:shapetype>
              <v:shape id="Text Box 1" style="position:absolute;left:0;text-align:left;margin-left:258.1pt;margin-top:8.5pt;width:206.2pt;height:114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e7e6e6 [321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">
                <v:textbox>
                  <w:txbxContent>
                    <w:p w:rsidR="00C60382" w:rsidP="00C60382" w:rsidRDefault="00F9399F" w14:paraId="5F01D718" w14:textId="281C853E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F9399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Accessibility</w:t>
                      </w:r>
                      <w:r w:rsidRPr="00C60382" w:rsid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:rsidRPr="00C60382" w:rsidR="00C60382" w:rsidP="00F9399F" w:rsidRDefault="00F9399F" w14:paraId="63EEA3C6" w14:textId="16A8C61D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F9399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This activity is not suitable for online engagement as it relies on group discussion and requires the physical presence of participants</w:t>
                      </w:r>
                      <w:r w:rsid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.</w:t>
                      </w:r>
                    </w:p>
                    <w:p w:rsidR="00C60382" w:rsidP="00C60382" w:rsidRDefault="00C60382" w14:paraId="5B85825D" w14:textId="77777777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FBCE1" wp14:editId="2A506AB9">
                <wp:simplePos x="0" y="0"/>
                <wp:positionH relativeFrom="column">
                  <wp:posOffset>185420</wp:posOffset>
                </wp:positionH>
                <wp:positionV relativeFrom="paragraph">
                  <wp:posOffset>107950</wp:posOffset>
                </wp:positionV>
                <wp:extent cx="2905760" cy="1456690"/>
                <wp:effectExtent l="0" t="0" r="2540" b="3810"/>
                <wp:wrapTight wrapText="bothSides">
                  <wp:wrapPolygon edited="0">
                    <wp:start x="0" y="0"/>
                    <wp:lineTo x="0" y="21468"/>
                    <wp:lineTo x="21524" y="21468"/>
                    <wp:lineTo x="21524" y="0"/>
                    <wp:lineTo x="0" y="0"/>
                  </wp:wrapPolygon>
                </wp:wrapTight>
                <wp:docPr id="7418500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760" cy="14566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C60382" w:rsidR="00C60382" w:rsidP="00C60382" w:rsidRDefault="00014446" w14:paraId="6D4AB339" w14:textId="112F16F8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01444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Infrastructure</w:t>
                            </w:r>
                            <w:r w:rsidRPr="00C60382" w:rsid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:rsidRPr="00014446" w:rsidR="00014446" w:rsidP="00DC0269" w:rsidRDefault="00014446" w14:paraId="59C48FBC" w14:textId="7777777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01444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Tables and chairs</w:t>
                            </w:r>
                          </w:p>
                          <w:p w:rsidRPr="00014446" w:rsidR="00014446" w:rsidP="00DC0269" w:rsidRDefault="00014446" w14:paraId="0F0BD33E" w14:textId="7777777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01444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Background materials</w:t>
                            </w:r>
                          </w:p>
                          <w:p w:rsidRPr="006F3F1D" w:rsidR="006F3F1D" w:rsidP="00C60382" w:rsidRDefault="00014446" w14:paraId="19B0EB5A" w14:textId="7777777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01444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Flipcharts and markers, or other materials for recording discussions.</w:t>
                            </w:r>
                          </w:p>
                          <w:p w:rsidRPr="006F3F1D" w:rsidR="00C60382" w:rsidP="00C60382" w:rsidRDefault="006F3F1D" w14:paraId="30E35A59" w14:textId="5DDA45B4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6F3F1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Audio or video recording.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left:0;text-align:left;margin-left:14.6pt;margin-top:8.5pt;width:228.8pt;height:1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e7e6e6 [321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t0MQIAAFwEAAAOAAAAZHJzL2Uyb0RvYy54bWysVEuP2jAQvlfqf7B8LwkU2CUirCgrqkpo&#10;dyW22rNxbLDkeFzbkNBf37HDq9ueql6cGc94Ht83k+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" w14:anchorId="234FBCE1">
                <v:textbox>
                  <w:txbxContent>
                    <w:p w:rsidRPr="00C60382" w:rsidR="00C60382" w:rsidP="00C60382" w:rsidRDefault="00014446" w14:paraId="6D4AB339" w14:textId="112F16F8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01444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Infrastructure</w:t>
                      </w:r>
                      <w:r w:rsidRPr="00C60382" w:rsid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:rsidRPr="00014446" w:rsidR="00014446" w:rsidP="00DC0269" w:rsidRDefault="00014446" w14:paraId="59C48FBC" w14:textId="7777777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01444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Tables and chairs</w:t>
                      </w:r>
                    </w:p>
                    <w:p w:rsidRPr="00014446" w:rsidR="00014446" w:rsidP="00DC0269" w:rsidRDefault="00014446" w14:paraId="0F0BD33E" w14:textId="7777777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01444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Background materials</w:t>
                      </w:r>
                    </w:p>
                    <w:p w:rsidRPr="006F3F1D" w:rsidR="006F3F1D" w:rsidP="00C60382" w:rsidRDefault="00014446" w14:paraId="19B0EB5A" w14:textId="7777777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01444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Flipcharts and markers, or other materials for recording discussions.</w:t>
                      </w:r>
                    </w:p>
                    <w:p w:rsidRPr="006F3F1D" w:rsidR="00C60382" w:rsidP="00C60382" w:rsidRDefault="006F3F1D" w14:paraId="30E35A59" w14:textId="5DDA45B4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6F3F1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Audio or video recording.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Pr="00C60382" w:rsidR="00C60382" w:rsidP="00C60382" w:rsidRDefault="00C60382" w14:paraId="47348FD2" w14:textId="6FE370E4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sectPr w:rsidRPr="00C60382" w:rsidR="00C60382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6B68" w:rsidP="000B0624" w:rsidRDefault="00956B68" w14:paraId="4CB69CC9" w14:textId="77777777">
      <w:r>
        <w:separator/>
      </w:r>
    </w:p>
  </w:endnote>
  <w:endnote w:type="continuationSeparator" w:id="0">
    <w:p w:rsidR="00956B68" w:rsidP="000B0624" w:rsidRDefault="00956B68" w14:paraId="4AD021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6B68" w:rsidP="000B0624" w:rsidRDefault="00956B68" w14:paraId="4B96694A" w14:textId="77777777">
      <w:r>
        <w:separator/>
      </w:r>
    </w:p>
  </w:footnote>
  <w:footnote w:type="continuationSeparator" w:id="0">
    <w:p w:rsidR="00956B68" w:rsidP="000B0624" w:rsidRDefault="00956B68" w14:paraId="3CCA63D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B0624" w:rsidR="000B0624" w:rsidP="00722A5F" w:rsidRDefault="00D86D8C" w14:paraId="599909F0" w14:textId="5EB518DB">
    <w:pPr>
      <w:spacing w:line="360" w:lineRule="auto"/>
      <w:rPr>
        <w:color w:val="A6A6A6" w:themeColor="background1" w:themeShade="A6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722A5F" w:rsidR="00722A5F">
      <w:rPr>
        <w:rFonts w:ascii="Arial" w:hAnsi="Arial" w:cs="Arial"/>
        <w:color w:val="A6A6A6" w:themeColor="background1" w:themeShade="A6"/>
        <w:sz w:val="20"/>
        <w:szCs w:val="20"/>
      </w:rPr>
      <w:t>A Set of Tools to Enhance Public Participation in Urban Planning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6B228E"/>
    <w:multiLevelType w:val="hybridMultilevel"/>
    <w:tmpl w:val="8E282014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1C0E7D6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7117A"/>
    <w:multiLevelType w:val="multilevel"/>
    <w:tmpl w:val="3C3A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48D79EE"/>
    <w:multiLevelType w:val="multilevel"/>
    <w:tmpl w:val="EC7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9F378DA"/>
    <w:multiLevelType w:val="hybridMultilevel"/>
    <w:tmpl w:val="63F060B4"/>
    <w:lvl w:ilvl="0" w:tplc="45344B5C">
      <w:start w:val="3"/>
      <w:numFmt w:val="bullet"/>
      <w:lvlText w:val="-"/>
      <w:lvlJc w:val="left"/>
      <w:pPr>
        <w:ind w:left="1080" w:hanging="360"/>
      </w:pPr>
      <w:rPr>
        <w:rFonts w:hint="default" w:ascii="Arial" w:hAnsi="Arial" w:cs="Arial" w:eastAsiaTheme="minorHAnsi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9C16A9"/>
    <w:multiLevelType w:val="hybridMultilevel"/>
    <w:tmpl w:val="4E545F8A"/>
    <w:lvl w:ilvl="0" w:tplc="F078D4F4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5" w15:restartNumberingAfterBreak="0">
    <w:nsid w:val="53676123"/>
    <w:multiLevelType w:val="hybridMultilevel"/>
    <w:tmpl w:val="37A2C178"/>
    <w:lvl w:ilvl="0" w:tplc="CF047EB4">
      <w:start w:val="3"/>
      <w:numFmt w:val="bullet"/>
      <w:lvlText w:val="-"/>
      <w:lvlJc w:val="left"/>
      <w:pPr>
        <w:ind w:left="108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FA46A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36337B"/>
    <w:multiLevelType w:val="hybridMultilevel"/>
    <w:tmpl w:val="39D2A52A"/>
    <w:lvl w:ilvl="0" w:tplc="BC6879F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6"/>
  </w:num>
  <w:num w:numId="2" w16cid:durableId="1308128615">
    <w:abstractNumId w:val="24"/>
  </w:num>
  <w:num w:numId="3" w16cid:durableId="1424060837">
    <w:abstractNumId w:val="8"/>
  </w:num>
  <w:num w:numId="4" w16cid:durableId="760028442">
    <w:abstractNumId w:val="1"/>
  </w:num>
  <w:num w:numId="5" w16cid:durableId="1984771815">
    <w:abstractNumId w:val="17"/>
  </w:num>
  <w:num w:numId="6" w16cid:durableId="27679684">
    <w:abstractNumId w:val="23"/>
  </w:num>
  <w:num w:numId="7" w16cid:durableId="858936318">
    <w:abstractNumId w:val="25"/>
  </w:num>
  <w:num w:numId="8" w16cid:durableId="41708735">
    <w:abstractNumId w:val="13"/>
  </w:num>
  <w:num w:numId="9" w16cid:durableId="1508328884">
    <w:abstractNumId w:val="18"/>
  </w:num>
  <w:num w:numId="10" w16cid:durableId="27220746">
    <w:abstractNumId w:val="0"/>
  </w:num>
  <w:num w:numId="11" w16cid:durableId="345786948">
    <w:abstractNumId w:val="26"/>
  </w:num>
  <w:num w:numId="12" w16cid:durableId="1817142978">
    <w:abstractNumId w:val="12"/>
  </w:num>
  <w:num w:numId="13" w16cid:durableId="133373418">
    <w:abstractNumId w:val="9"/>
  </w:num>
  <w:num w:numId="14" w16cid:durableId="28646626">
    <w:abstractNumId w:val="28"/>
  </w:num>
  <w:num w:numId="15" w16cid:durableId="1138182328">
    <w:abstractNumId w:val="22"/>
  </w:num>
  <w:num w:numId="16" w16cid:durableId="1850025218">
    <w:abstractNumId w:val="19"/>
  </w:num>
  <w:num w:numId="17" w16cid:durableId="716780480">
    <w:abstractNumId w:val="14"/>
  </w:num>
  <w:num w:numId="18" w16cid:durableId="1784019">
    <w:abstractNumId w:val="4"/>
  </w:num>
  <w:num w:numId="19" w16cid:durableId="1902326420">
    <w:abstractNumId w:val="10"/>
  </w:num>
  <w:num w:numId="20" w16cid:durableId="1221744665">
    <w:abstractNumId w:val="21"/>
  </w:num>
  <w:num w:numId="21" w16cid:durableId="1752310835">
    <w:abstractNumId w:val="3"/>
  </w:num>
  <w:num w:numId="22" w16cid:durableId="921834697">
    <w:abstractNumId w:val="20"/>
  </w:num>
  <w:num w:numId="23" w16cid:durableId="366222757">
    <w:abstractNumId w:val="5"/>
  </w:num>
  <w:num w:numId="24" w16cid:durableId="495614967">
    <w:abstractNumId w:val="2"/>
  </w:num>
  <w:num w:numId="25" w16cid:durableId="1510635219">
    <w:abstractNumId w:val="27"/>
  </w:num>
  <w:num w:numId="26" w16cid:durableId="973602961">
    <w:abstractNumId w:val="6"/>
  </w:num>
  <w:num w:numId="27" w16cid:durableId="1271351550">
    <w:abstractNumId w:val="11"/>
  </w:num>
  <w:num w:numId="28" w16cid:durableId="217327270">
    <w:abstractNumId w:val="15"/>
  </w:num>
  <w:num w:numId="29" w16cid:durableId="2999619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14446"/>
    <w:rsid w:val="000814C6"/>
    <w:rsid w:val="0008345F"/>
    <w:rsid w:val="000B0624"/>
    <w:rsid w:val="000F71FD"/>
    <w:rsid w:val="0014549F"/>
    <w:rsid w:val="00155A82"/>
    <w:rsid w:val="001A256A"/>
    <w:rsid w:val="001B4C57"/>
    <w:rsid w:val="001C443B"/>
    <w:rsid w:val="001C59E1"/>
    <w:rsid w:val="002224F5"/>
    <w:rsid w:val="00245025"/>
    <w:rsid w:val="00262A06"/>
    <w:rsid w:val="00265851"/>
    <w:rsid w:val="00275D96"/>
    <w:rsid w:val="002D2D9D"/>
    <w:rsid w:val="002E263B"/>
    <w:rsid w:val="002E6A9A"/>
    <w:rsid w:val="00306699"/>
    <w:rsid w:val="00373D01"/>
    <w:rsid w:val="003B1307"/>
    <w:rsid w:val="003B7723"/>
    <w:rsid w:val="00430F78"/>
    <w:rsid w:val="0046777B"/>
    <w:rsid w:val="00494939"/>
    <w:rsid w:val="004B6524"/>
    <w:rsid w:val="0057275F"/>
    <w:rsid w:val="005760AC"/>
    <w:rsid w:val="005B7F64"/>
    <w:rsid w:val="00617F8D"/>
    <w:rsid w:val="006324E5"/>
    <w:rsid w:val="006554FE"/>
    <w:rsid w:val="00661B91"/>
    <w:rsid w:val="006A58B5"/>
    <w:rsid w:val="006B0561"/>
    <w:rsid w:val="006F3F1D"/>
    <w:rsid w:val="00704D92"/>
    <w:rsid w:val="00713C48"/>
    <w:rsid w:val="00716F0C"/>
    <w:rsid w:val="00722A5F"/>
    <w:rsid w:val="00735E87"/>
    <w:rsid w:val="007C13E6"/>
    <w:rsid w:val="00833466"/>
    <w:rsid w:val="008407BA"/>
    <w:rsid w:val="008801E4"/>
    <w:rsid w:val="00915DBA"/>
    <w:rsid w:val="00946FA8"/>
    <w:rsid w:val="00956B68"/>
    <w:rsid w:val="00994C7F"/>
    <w:rsid w:val="009C43AA"/>
    <w:rsid w:val="00A26542"/>
    <w:rsid w:val="00A97794"/>
    <w:rsid w:val="00AC2D1A"/>
    <w:rsid w:val="00B00E59"/>
    <w:rsid w:val="00B36C01"/>
    <w:rsid w:val="00B43FEE"/>
    <w:rsid w:val="00B65F74"/>
    <w:rsid w:val="00B724A4"/>
    <w:rsid w:val="00B85495"/>
    <w:rsid w:val="00BE513B"/>
    <w:rsid w:val="00C215CD"/>
    <w:rsid w:val="00C60382"/>
    <w:rsid w:val="00C70A57"/>
    <w:rsid w:val="00C71EC0"/>
    <w:rsid w:val="00C727D9"/>
    <w:rsid w:val="00C90373"/>
    <w:rsid w:val="00D56E61"/>
    <w:rsid w:val="00D86D8C"/>
    <w:rsid w:val="00DC0269"/>
    <w:rsid w:val="00DD20C9"/>
    <w:rsid w:val="00DE3FD4"/>
    <w:rsid w:val="00DF451E"/>
    <w:rsid w:val="00E01868"/>
    <w:rsid w:val="00E35983"/>
    <w:rsid w:val="00E44E48"/>
    <w:rsid w:val="00E54FEE"/>
    <w:rsid w:val="00E93A0E"/>
    <w:rsid w:val="00ED146A"/>
    <w:rsid w:val="00ED3A4D"/>
    <w:rsid w:val="00F9399F"/>
    <w:rsid w:val="00FA14CF"/>
    <w:rsid w:val="00FC7472"/>
    <w:rsid w:val="00FE2F00"/>
    <w:rsid w:val="2A12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E0BD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0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E5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00E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00E59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B7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1432f2-609e-4f55-b7e5-380d8fe6f03d">
      <Terms xmlns="http://schemas.microsoft.com/office/infopath/2007/PartnerControls"/>
    </lcf76f155ced4ddcb4097134ff3c332f>
    <TaxCatchAll xmlns="78cf5cd1-88bc-41d9-87fb-cbc149f0e2f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0594B9-108C-48FF-AB47-0D9655510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32f2-609e-4f55-b7e5-380d8fe6f03d"/>
    <ds:schemaRef ds:uri="78cf5cd1-88bc-41d9-87fb-cbc149f0e2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71A38D-47D3-45EE-A810-62519DFE1B0E}">
  <ds:schemaRefs>
    <ds:schemaRef ds:uri="http://schemas.microsoft.com/office/2006/metadata/properties"/>
    <ds:schemaRef ds:uri="http://schemas.microsoft.com/office/infopath/2007/PartnerControls"/>
    <ds:schemaRef ds:uri="7e1432f2-609e-4f55-b7e5-380d8fe6f03d"/>
    <ds:schemaRef ds:uri="78cf5cd1-88bc-41d9-87fb-cbc149f0e2f3"/>
  </ds:schemaRefs>
</ds:datastoreItem>
</file>

<file path=customXml/itemProps4.xml><?xml version="1.0" encoding="utf-8"?>
<ds:datastoreItem xmlns:ds="http://schemas.openxmlformats.org/officeDocument/2006/customXml" ds:itemID="{487176C9-AD50-4E37-9D21-21707F7C296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23</cp:revision>
  <cp:lastPrinted>2024-03-11T10:30:00Z</cp:lastPrinted>
  <dcterms:created xsi:type="dcterms:W3CDTF">2024-12-10T09:26:00Z</dcterms:created>
  <dcterms:modified xsi:type="dcterms:W3CDTF">2025-10-10T10:22:52Z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